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PARKWAY WEB CO.</w:t>
      </w:r>
    </w:p>
    <w:p>
      <w:pPr>
        <w:spacing w:after="80"/>
        <w:jc w:val="center"/>
      </w:pPr>
      <w:r>
        <w:rPr>
          <w:b/>
          <w:bCs/>
          <w:sz w:val="36"/>
          <w:szCs w:val="36"/>
        </w:rPr>
        <w:t xml:space="preserve">Master Services Agreement</w:t>
      </w:r>
    </w:p>
    <w:p>
      <w:pPr>
        <w:spacing w:after="320"/>
        <w:jc w:val="center"/>
      </w:pPr>
      <w:r>
        <w:rPr>
          <w:i/>
          <w:iCs/>
          <w:color w:val="666666"/>
          <w:sz w:val="20"/>
          <w:szCs w:val="20"/>
        </w:rPr>
        <w:t xml:space="preserve">Effective Date: May 23, 2026  ·  Version 1.0</w:t>
      </w:r>
    </w:p>
    <w:p>
      <w:pPr>
        <w:pBdr>
          <w:bottom w:val="single" w:color="888888" w:sz="6" w:space="8"/>
        </w:pBdr>
        <w:spacing w:after="240"/>
      </w:pPr>
      <w:r>
        <w:t xml:space="preserve"/>
      </w:r>
    </w:p>
    <w:p>
      <w:pPr>
        <w:spacing w:after="160"/>
        <w:jc w:val="both"/>
      </w:pPr>
      <w:r>
        <w:rPr>
          <w:b w:val="false"/>
          <w:bCs w:val="false"/>
          <w:i w:val="false"/>
          <w:iCs w:val="false"/>
        </w:rPr>
        <w:t xml:space="preserve">This Master Services Agreement (the “Agreement”) governs the provision of website design, hosting, and related ongoing services by Parkway Web Co., a DBA of Giving Bridge Consulting LLC (“Provider,” “we,” “us”), to the client identified in the accompanying Service Order Form (“Client,” “you”). By signing the Service Order Form, you agree to the terms below.</w:t>
      </w:r>
    </w:p>
    <w:p>
      <w:pPr>
        <w:pStyle w:val="Heading1"/>
      </w:pPr>
      <w:r>
        <w:t xml:space="preserve">1. Services</w:t>
      </w:r>
    </w:p>
    <w:p>
      <w:pPr>
        <w:spacing w:after="160"/>
        <w:jc w:val="both"/>
      </w:pPr>
      <w:r>
        <w:rPr>
          <w:b w:val="false"/>
          <w:bCs w:val="false"/>
          <w:i w:val="false"/>
          <w:iCs w:val="false"/>
        </w:rPr>
        <w:t xml:space="preserve">We will provide the website design, hosting, and ongoing services described in the tier you select on the Service Order Form (“Standard” or “Professional”). The full feature list for each tier is published at parkwayweb.com and forms part of this Agreement by reference. Services include the initial site build, hosting, ongoing small edits, monthly reporting, and any additional features specific to your tier.</w:t>
      </w:r>
    </w:p>
    <w:p>
      <w:pPr>
        <w:spacing w:after="160"/>
        <w:jc w:val="both"/>
      </w:pPr>
      <w:r>
        <w:rPr>
          <w:b w:val="false"/>
          <w:bCs w:val="false"/>
          <w:i w:val="false"/>
          <w:iCs w:val="false"/>
        </w:rPr>
        <w:t xml:space="preserve">“Small edits” means changes that take under thirty (30) minutes of work and do not involve new pages, new features, or substantial redesigns. Examples include hours updates, price changes, swapping photos, updating service descriptions, and fixing typos. New pages, custom features, integrations, and redesigns are scoped and quoted separately.</w:t>
      </w:r>
    </w:p>
    <w:p>
      <w:pPr>
        <w:pStyle w:val="Heading1"/>
      </w:pPr>
      <w:r>
        <w:t xml:space="preserve">2. Term and Renewal</w:t>
      </w:r>
    </w:p>
    <w:p>
      <w:pPr>
        <w:spacing w:after="160"/>
        <w:jc w:val="both"/>
      </w:pPr>
      <w:r>
        <w:rPr>
          <w:b w:val="false"/>
          <w:bCs w:val="false"/>
          <w:i w:val="false"/>
          <w:iCs w:val="false"/>
        </w:rPr>
        <w:t xml:space="preserve">The initial term of this Agreement is twelve (12) months, beginning on the Start Date specified in the Service Order Form. After the initial term, this Agreement automatically continues on a month-to-month basis until terminated by either party with thirty (30) days written notice.</w:t>
      </w:r>
    </w:p>
    <w:p>
      <w:pPr>
        <w:pStyle w:val="Heading1"/>
      </w:pPr>
      <w:r>
        <w:t xml:space="preserve">3. Fees and Payment</w:t>
      </w:r>
    </w:p>
    <w:p>
      <w:pPr>
        <w:spacing w:after="160"/>
        <w:jc w:val="both"/>
      </w:pPr>
      <w:r>
        <w:rPr>
          <w:b w:val="false"/>
          <w:bCs w:val="false"/>
          <w:i w:val="false"/>
          <w:iCs w:val="false"/>
        </w:rPr>
        <w:t xml:space="preserve">You agree to pay the one-time setup fee and recurring monthly fee specified in the Service Order Form. Both fees are charged to a valid payment method on file via Stripe. The setup fee and the first monthly fee are charged on the Start Date. Subsequent monthly fees are charged on the same day of each month thereafter.</w:t>
      </w:r>
    </w:p>
    <w:p>
      <w:pPr>
        <w:spacing w:after="160"/>
        <w:jc w:val="both"/>
      </w:pPr>
      <w:r>
        <w:rPr>
          <w:b w:val="false"/>
          <w:bCs w:val="false"/>
          <w:i w:val="false"/>
          <w:iCs w:val="false"/>
        </w:rPr>
        <w:t xml:space="preserve">All fees are non-refundable. We are not responsible for transaction fees or currency conversion costs imposed by your card issuer or bank.</w:t>
      </w:r>
    </w:p>
    <w:p>
      <w:pPr>
        <w:spacing w:after="160"/>
        <w:jc w:val="both"/>
      </w:pPr>
      <w:r>
        <w:rPr>
          <w:b w:val="false"/>
          <w:bCs w:val="false"/>
          <w:i w:val="false"/>
          <w:iCs w:val="false"/>
        </w:rPr>
        <w:t xml:space="preserve">If a payment fails, we will retry the charge automatically. After fourteen (14) days of non-payment, we may suspend services. After thirty (30) days of non-payment, we may terminate this Agreement and remove the website from hosting. You remain responsible for all fees accrued through the date of termination.</w:t>
      </w:r>
    </w:p>
    <w:p>
      <w:pPr>
        <w:pStyle w:val="Heading1"/>
      </w:pPr>
      <w:r>
        <w:t xml:space="preserve">4. Client Responsibilities</w:t>
      </w:r>
    </w:p>
    <w:p>
      <w:pPr>
        <w:spacing w:after="160"/>
        <w:jc w:val="both"/>
      </w:pPr>
      <w:r>
        <w:rPr>
          <w:b w:val="false"/>
          <w:bCs w:val="false"/>
          <w:i w:val="false"/>
          <w:iCs w:val="false"/>
        </w:rPr>
        <w:t xml:space="preserve">You agree to:</w:t>
      </w:r>
    </w:p>
    <w:p>
      <w:pPr>
        <w:pStyle w:val="ListParagraph"/>
        <w:numPr>
          <w:ilvl w:val="0"/>
          <w:numId w:val="2"/>
        </w:numPr>
        <w:spacing w:after="80"/>
      </w:pPr>
      <w:r>
        <w:t xml:space="preserve">Provide accurate business information, content, photos, and any other materials we reasonably request within fourteen (14) days of the Start Date so we can begin work.</w:t>
      </w:r>
    </w:p>
    <w:p>
      <w:pPr>
        <w:pStyle w:val="ListParagraph"/>
        <w:numPr>
          <w:ilvl w:val="0"/>
          <w:numId w:val="2"/>
        </w:numPr>
        <w:spacing w:after="80"/>
      </w:pPr>
      <w:r>
        <w:t xml:space="preserve">Respond to questions, drafts, and review requests within five (5) business days during the build phase.</w:t>
      </w:r>
    </w:p>
    <w:p>
      <w:pPr>
        <w:pStyle w:val="ListParagraph"/>
        <w:numPr>
          <w:ilvl w:val="0"/>
          <w:numId w:val="2"/>
        </w:numPr>
        <w:spacing w:after="80"/>
      </w:pPr>
      <w:r>
        <w:t xml:space="preserve">Keep a valid payment method on file at all times during the term.</w:t>
      </w:r>
    </w:p>
    <w:p>
      <w:pPr>
        <w:pStyle w:val="ListParagraph"/>
        <w:numPr>
          <w:ilvl w:val="0"/>
          <w:numId w:val="2"/>
        </w:numPr>
        <w:spacing w:after="80"/>
      </w:pPr>
      <w:r>
        <w:t xml:space="preserve">Hold all rights to any content, images, logos, and trademarks you provide to us, and grant us permission to use them in the website we build for you.</w:t>
      </w:r>
    </w:p>
    <w:p>
      <w:pPr>
        <w:pStyle w:val="ListParagraph"/>
        <w:numPr>
          <w:ilvl w:val="0"/>
          <w:numId w:val="2"/>
        </w:numPr>
        <w:spacing w:after="80"/>
      </w:pPr>
      <w:r>
        <w:t xml:space="preserve">Notify us promptly of any errors, broken links, or issues with the website so we can correct them.</w:t>
      </w:r>
    </w:p>
    <w:p>
      <w:pPr>
        <w:spacing w:after="200"/>
      </w:pPr>
      <w:r>
        <w:t xml:space="preserve"/>
      </w:r>
    </w:p>
    <w:p>
      <w:pPr>
        <w:spacing w:after="160"/>
        <w:jc w:val="both"/>
      </w:pPr>
      <w:r>
        <w:rPr>
          <w:b w:val="false"/>
          <w:bCs w:val="false"/>
          <w:i w:val="false"/>
          <w:iCs w:val="false"/>
        </w:rPr>
        <w:t xml:space="preserve">If you fail to provide required materials or responses within the timeframes above, the project may be delayed and your monthly fees continue to accrue. We are not responsible for delays caused by your non-response.</w:t>
      </w:r>
    </w:p>
    <w:p>
      <w:pPr>
        <w:pStyle w:val="Heading1"/>
      </w:pPr>
      <w:r>
        <w:t xml:space="preserve">5. Ownership of Domain and Content</w:t>
      </w:r>
    </w:p>
    <w:p>
      <w:pPr>
        <w:spacing w:after="160"/>
        <w:jc w:val="both"/>
      </w:pPr>
      <w:r>
        <w:rPr>
          <w:b w:val="false"/>
          <w:bCs w:val="false"/>
          <w:i w:val="false"/>
          <w:iCs w:val="false"/>
        </w:rPr>
        <w:t xml:space="preserve">You own your domain name, your business content, and the final assembled website. We retain ownership of any underlying frameworks, templates, components, code libraries, and design systems we use across multiple clients. Nothing in this Agreement transfers ownership of those underlying tools to you.</w:t>
      </w:r>
    </w:p>
    <w:p>
      <w:pPr>
        <w:spacing w:after="160"/>
        <w:jc w:val="both"/>
      </w:pPr>
      <w:r>
        <w:rPr>
          <w:b w:val="false"/>
          <w:bCs w:val="false"/>
          <w:i w:val="false"/>
          <w:iCs w:val="false"/>
        </w:rPr>
        <w:t xml:space="preserve">If this Agreement ends for any reason, we will provide you with an export of the live website files (HTML, CSS, images) within fourteen (14) days of termination, at no additional charge. You are responsible for transferring the site to a new host and any DNS changes after that export is delivered.</w:t>
      </w:r>
    </w:p>
    <w:p>
      <w:pPr>
        <w:pStyle w:val="Heading1"/>
      </w:pPr>
      <w:r>
        <w:t xml:space="preserve">6. Service Levels</w:t>
      </w:r>
    </w:p>
    <w:p>
      <w:pPr>
        <w:spacing w:after="160"/>
        <w:jc w:val="both"/>
      </w:pPr>
      <w:r>
        <w:rPr>
          <w:b w:val="false"/>
          <w:bCs w:val="false"/>
          <w:i w:val="false"/>
          <w:iCs w:val="false"/>
        </w:rPr>
        <w:t xml:space="preserve">We target 99.5% website uptime on a monthly basis, measured by our hosting provider (Netlify). Brief outages for maintenance, deploys, third-party service issues, and circumstances beyond our reasonable control are excluded from this target.</w:t>
      </w:r>
    </w:p>
    <w:p>
      <w:pPr>
        <w:spacing w:after="160"/>
        <w:jc w:val="both"/>
      </w:pPr>
      <w:r>
        <w:rPr>
          <w:b/>
          <w:bCs/>
        </w:rPr>
        <w:t xml:space="preserve">Edit turnaround: </w:t>
      </w:r>
      <w:r>
        <w:t xml:space="preserve">Standard tier — small edits completed within 48 hours of receipt during business days. Professional tier — same-day for requests received before 12:00 PM ET, next business day otherwise.</w:t>
      </w:r>
    </w:p>
    <w:p>
      <w:pPr>
        <w:spacing w:after="160"/>
        <w:jc w:val="both"/>
      </w:pPr>
      <w:r>
        <w:rPr>
          <w:b w:val="false"/>
          <w:bCs w:val="false"/>
          <w:i w:val="false"/>
          <w:iCs w:val="false"/>
        </w:rPr>
        <w:t xml:space="preserve">“Business days” means Monday through Friday, excluding U.S. federal holidays.</w:t>
      </w:r>
    </w:p>
    <w:p>
      <w:pPr>
        <w:pStyle w:val="Heading1"/>
      </w:pPr>
      <w:r>
        <w:t xml:space="preserve">7. AI FAQ Chat (Professional Tier Only)</w:t>
      </w:r>
    </w:p>
    <w:p>
      <w:pPr>
        <w:spacing w:after="160"/>
        <w:jc w:val="both"/>
      </w:pPr>
      <w:r>
        <w:rPr>
          <w:b w:val="false"/>
          <w:bCs w:val="false"/>
          <w:i w:val="false"/>
          <w:iCs w:val="false"/>
        </w:rPr>
        <w:t xml:space="preserve">If you are on the Professional tier, we will configure an AI chat widget trained on the business information you provide. The chat responds to common visitor questions and offers to connect visitors to you via call or text when it cannot answer. We do not guarantee the accuracy of any individual AI response. The chat is configured to escalate complex inquiries to you rather than provide commitments or legal answers on your behalf.</w:t>
      </w:r>
    </w:p>
    <w:p>
      <w:pPr>
        <w:spacing w:after="160"/>
        <w:jc w:val="both"/>
      </w:pPr>
      <w:r>
        <w:rPr>
          <w:b w:val="false"/>
          <w:bCs w:val="false"/>
          <w:i w:val="false"/>
          <w:iCs w:val="false"/>
        </w:rPr>
        <w:t xml:space="preserve">You are responsible for monitoring the chat’s outputs and notifying us if you observe consistently incorrect answers so we can retrain the model. We will not be liable for business decisions made by your customers based on AI chat output.</w:t>
      </w:r>
    </w:p>
    <w:p>
      <w:pPr>
        <w:pStyle w:val="Heading1"/>
      </w:pPr>
      <w:r>
        <w:t xml:space="preserve">8. Confidentiality</w:t>
      </w:r>
    </w:p>
    <w:p>
      <w:pPr>
        <w:spacing w:after="160"/>
        <w:jc w:val="both"/>
      </w:pPr>
      <w:r>
        <w:rPr>
          <w:b w:val="false"/>
          <w:bCs w:val="false"/>
          <w:i w:val="false"/>
          <w:iCs w:val="false"/>
        </w:rPr>
        <w:t xml:space="preserve">Each party agrees to protect the confidential business information of the other and not to disclose it to third parties except as needed to perform under this Agreement. “Confidential information” does not include information that is publicly available, was already known to the receiving party, or is independently developed without reference to the other party’s information.</w:t>
      </w:r>
    </w:p>
    <w:p>
      <w:pPr>
        <w:pStyle w:val="Heading1"/>
      </w:pPr>
      <w:r>
        <w:t xml:space="preserve">9. Limitation of Liability</w:t>
      </w:r>
    </w:p>
    <w:p>
      <w:pPr>
        <w:spacing w:after="160"/>
        <w:jc w:val="both"/>
      </w:pPr>
      <w:r>
        <w:rPr>
          <w:b w:val="false"/>
          <w:bCs w:val="false"/>
          <w:i w:val="false"/>
          <w:iCs w:val="false"/>
        </w:rPr>
        <w:t xml:space="preserve">To the maximum extent permitted by law, our total liability to you for any claim arising out of or relating to this Agreement is limited to the total fees you paid to us in the three (3) months immediately preceding the event giving rise to the claim. Neither party is liable to the other for indirect, incidental, consequential, special, or punitive damages, including lost profits or lost business opportunities, regardless of the theory of liability.</w:t>
      </w:r>
    </w:p>
    <w:p>
      <w:pPr>
        <w:spacing w:after="160"/>
        <w:jc w:val="both"/>
      </w:pPr>
      <w:r>
        <w:rPr>
          <w:b w:val="false"/>
          <w:bCs w:val="false"/>
          <w:i w:val="false"/>
          <w:iCs w:val="false"/>
        </w:rPr>
        <w:t xml:space="preserve">We are not responsible for any losses arising from outages of third-party services we use to operate your website (including but not limited to Netlify, Cloudflare, Google, Stripe, EmailJS, and Cloudinary). We are not responsible for content accuracy on your site — you are responsible for reviewing and approving all content before publication.</w:t>
      </w:r>
    </w:p>
    <w:p>
      <w:pPr>
        <w:pStyle w:val="Heading1"/>
      </w:pPr>
      <w:r>
        <w:t xml:space="preserve">10. Termination</w:t>
      </w:r>
    </w:p>
    <w:p>
      <w:pPr>
        <w:spacing w:after="160"/>
        <w:jc w:val="both"/>
      </w:pPr>
      <w:r>
        <w:rPr>
          <w:b/>
          <w:bCs/>
        </w:rPr>
        <w:t xml:space="preserve">Early termination during initial term: </w:t>
      </w:r>
      <w:r>
        <w:t xml:space="preserve">Because we commit upfront resources to your project, the twelve-month initial term is a firm commitment. You may not terminate during the initial term for convenience. You may terminate during the initial term only for material breach by us that we fail to cure within thirty (30) days of written notice.</w:t>
      </w:r>
    </w:p>
    <w:p>
      <w:pPr>
        <w:spacing w:after="160"/>
        <w:jc w:val="both"/>
      </w:pPr>
      <w:r>
        <w:rPr>
          <w:b/>
          <w:bCs/>
        </w:rPr>
        <w:t xml:space="preserve">After initial term: </w:t>
      </w:r>
      <w:r>
        <w:t xml:space="preserve">Either party may terminate with thirty (30) days written notice. Fees are not prorated; the final monthly charge is for the full month in which termination becomes effective.</w:t>
      </w:r>
    </w:p>
    <w:p>
      <w:pPr>
        <w:spacing w:after="160"/>
        <w:jc w:val="both"/>
      </w:pPr>
      <w:r>
        <w:rPr>
          <w:b/>
          <w:bCs/>
        </w:rPr>
        <w:t xml:space="preserve">Termination for cause: </w:t>
      </w:r>
      <w:r>
        <w:t xml:space="preserve">Either party may terminate immediately for the other party’s material breach that remains uncured fourteen (14) days after written notice, or for the other party’s insolvency, assignment for the benefit of creditors, or filing for bankruptcy protection.</w:t>
      </w:r>
    </w:p>
    <w:p>
      <w:pPr>
        <w:pStyle w:val="Heading1"/>
      </w:pPr>
      <w:r>
        <w:t xml:space="preserve">11. Indemnification</w:t>
      </w:r>
    </w:p>
    <w:p>
      <w:pPr>
        <w:spacing w:after="160"/>
        <w:jc w:val="both"/>
      </w:pPr>
      <w:r>
        <w:rPr>
          <w:b w:val="false"/>
          <w:bCs w:val="false"/>
          <w:i w:val="false"/>
          <w:iCs w:val="false"/>
        </w:rPr>
        <w:t xml:space="preserve">You agree to indemnify and hold us harmless from any third-party claims arising from (a) content you provide for use on your website, (b) your business operations, (c) products or services you sell or describe on your website, or (d) your violation of any law or third-party right. We agree to indemnify and hold you harmless from any third-party claims that the original code or design we create for you (excluding content you provide) infringes a third party’s copyright.</w:t>
      </w:r>
    </w:p>
    <w:p>
      <w:pPr>
        <w:pStyle w:val="Heading1"/>
      </w:pPr>
      <w:r>
        <w:t xml:space="preserve">12. Insurance</w:t>
      </w:r>
    </w:p>
    <w:p>
      <w:pPr>
        <w:spacing w:after="160"/>
        <w:jc w:val="both"/>
      </w:pPr>
      <w:r>
        <w:rPr>
          <w:b w:val="false"/>
          <w:bCs w:val="false"/>
          <w:i w:val="false"/>
          <w:iCs w:val="false"/>
        </w:rPr>
        <w:t xml:space="preserve">We maintain General Liability, Errors &amp; Omissions (Professional Liability), and Cyber Liability insurance during the term of this Agreement. We will provide a Certificate of Insurance upon written request.</w:t>
      </w:r>
    </w:p>
    <w:p>
      <w:pPr>
        <w:pStyle w:val="Heading1"/>
      </w:pPr>
      <w:r>
        <w:t xml:space="preserve">13. Governing Law and Disputes</w:t>
      </w:r>
    </w:p>
    <w:p>
      <w:pPr>
        <w:spacing w:after="160"/>
        <w:jc w:val="both"/>
      </w:pPr>
      <w:r>
        <w:rPr>
          <w:b w:val="false"/>
          <w:bCs w:val="false"/>
          <w:i w:val="false"/>
          <w:iCs w:val="false"/>
        </w:rPr>
        <w:t xml:space="preserve">This Agreement is governed by the laws of the State of New York, without regard to its conflict-of-laws principles. Any dispute arising under this Agreement that the parties cannot resolve through good-faith negotiation will be brought exclusively in the state or federal courts located in Suffolk County, New York, and both parties consent to personal jurisdiction in those courts.</w:t>
      </w:r>
    </w:p>
    <w:p>
      <w:pPr>
        <w:pStyle w:val="Heading1"/>
      </w:pPr>
      <w:r>
        <w:t xml:space="preserve">14. Miscellaneous</w:t>
      </w:r>
    </w:p>
    <w:p>
      <w:pPr>
        <w:spacing w:after="160"/>
        <w:jc w:val="both"/>
      </w:pPr>
      <w:r>
        <w:rPr>
          <w:b/>
          <w:bCs/>
        </w:rPr>
        <w:t xml:space="preserve">Entire agreement. </w:t>
      </w:r>
      <w:r>
        <w:t xml:space="preserve">This Agreement, together with the signed Service Order Form, is the entire agreement between the parties on this subject and supersedes any prior discussions or proposals.</w:t>
      </w:r>
    </w:p>
    <w:p>
      <w:pPr>
        <w:spacing w:after="160"/>
        <w:jc w:val="both"/>
      </w:pPr>
      <w:r>
        <w:rPr>
          <w:b/>
          <w:bCs/>
        </w:rPr>
        <w:t xml:space="preserve">Modifications. </w:t>
      </w:r>
      <w:r>
        <w:t xml:space="preserve">We may update this Agreement from time to time. Material changes will not take effect for existing clients until their next renewal period and will be communicated at least thirty (30) days in advance.</w:t>
      </w:r>
    </w:p>
    <w:p>
      <w:pPr>
        <w:spacing w:after="160"/>
        <w:jc w:val="both"/>
      </w:pPr>
      <w:r>
        <w:rPr>
          <w:b/>
          <w:bCs/>
        </w:rPr>
        <w:t xml:space="preserve">Assignment. </w:t>
      </w:r>
      <w:r>
        <w:t xml:space="preserve">Neither party may assign this Agreement without the other’s written consent, except that we may assign it to a successor in connection with a merger, acquisition, or sale of substantially all of our assets.</w:t>
      </w:r>
    </w:p>
    <w:p>
      <w:pPr>
        <w:spacing w:after="160"/>
        <w:jc w:val="both"/>
      </w:pPr>
      <w:r>
        <w:rPr>
          <w:b/>
          <w:bCs/>
        </w:rPr>
        <w:t xml:space="preserve">Severability. </w:t>
      </w:r>
      <w:r>
        <w:t xml:space="preserve">If any provision of this Agreement is found unenforceable, the remaining provisions remain in full effect.</w:t>
      </w:r>
    </w:p>
    <w:p>
      <w:pPr>
        <w:spacing w:after="160"/>
        <w:jc w:val="both"/>
      </w:pPr>
      <w:r>
        <w:rPr>
          <w:b/>
          <w:bCs/>
        </w:rPr>
        <w:t xml:space="preserve">Notices. </w:t>
      </w:r>
      <w:r>
        <w:t xml:space="preserve">Written notices under this Agreement may be sent by email to hello@parkwayweb.com (to us) and to the email address on the Service Order Form (to you).</w:t>
      </w:r>
    </w:p>
    <w:p>
      <w:pPr>
        <w:spacing w:after="200"/>
      </w:pPr>
      <w:r>
        <w:t xml:space="preserve"/>
      </w:r>
    </w:p>
    <w:p>
      <w:pPr>
        <w:pBdr>
          <w:bottom w:val="single" w:color="888888" w:sz="6" w:space="8"/>
        </w:pBdr>
        <w:spacing w:after="240"/>
      </w:pPr>
      <w:r>
        <w:t xml:space="preserve"/>
      </w:r>
    </w:p>
    <w:p>
      <w:pPr>
        <w:spacing w:before="120"/>
        <w:jc w:val="center"/>
      </w:pPr>
      <w:r>
        <w:rPr>
          <w:color w:val="666666"/>
          <w:sz w:val="18"/>
          <w:szCs w:val="18"/>
        </w:rPr>
        <w:t xml:space="preserve">Parkway Web Co.  ·  hello@parkwayweb.com  ·  parkwayweb.com</w:t>
      </w:r>
    </w:p>
    <w:p>
      <w:pPr>
        <w:jc w:val="center"/>
      </w:pPr>
      <w:r>
        <w:rPr>
          <w:color w:val="666666"/>
          <w:sz w:val="18"/>
          <w:szCs w:val="18"/>
        </w:rPr>
        <w:t xml:space="preserve">A DBA of Giving Bridge Consulting LLC  ·  Suffolk County, New York</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E3A2E"/>
      <w:sz w:val="28"/>
      <w:szCs w:val="28"/>
    </w:rPr>
  </w:style>
  <w:style w:type="paragraph" w:styleId="Heading2">
    <w:name w:val="Heading 2"/>
    <w:basedOn w:val="Normal"/>
    <w:next w:val="Normal"/>
    <w:qFormat/>
    <w:pPr>
      <w:spacing w:after="100" w:before="200"/>
      <w:outlineLvl w:val="1"/>
    </w:pPr>
    <w:rPr>
      <w:rFonts w:ascii="Calibri" w:cs="Calibri" w:eastAsia="Calibri" w:hAnsi="Calibri"/>
      <w:b/>
      <w:bCs/>
      <w:color w:val="1E3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2026-05-24T02:18:23.053Z</dcterms:created>
  <dcterms:modified xsi:type="dcterms:W3CDTF">2026-05-24T02:18:23.053Z</dcterms:modified>
</cp:coreProperties>
</file>

<file path=docProps/custom.xml><?xml version="1.0" encoding="utf-8"?>
<Properties xmlns="http://schemas.openxmlformats.org/officeDocument/2006/custom-properties" xmlns:vt="http://schemas.openxmlformats.org/officeDocument/2006/docPropsVTypes"/>
</file>